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BE6C" w14:textId="32E1102B" w:rsidR="004D3A78" w:rsidRPr="007C516B" w:rsidRDefault="004D3A78" w:rsidP="004D3A78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4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6B34F36C" w14:textId="77777777" w:rsidR="004D3A78" w:rsidRPr="007C516B" w:rsidRDefault="004D3A78" w:rsidP="004D3A78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3F901CA3" w14:textId="5F7E387E" w:rsidR="00E72C66" w:rsidRPr="004D3A78" w:rsidRDefault="004D3A78" w:rsidP="004D3A78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p w14:paraId="7564589B" w14:textId="0784AF69" w:rsidR="00CA08C7" w:rsidRPr="000777FF" w:rsidRDefault="00525599" w:rsidP="004D3A78">
      <w:pPr>
        <w:jc w:val="center"/>
        <w:rPr>
          <w:i/>
        </w:rPr>
      </w:pPr>
      <w:r w:rsidRPr="00525599">
        <w:rPr>
          <w:b/>
          <w:bCs/>
          <w:iCs/>
          <w:color w:val="000000" w:themeColor="text1"/>
        </w:rPr>
        <w:t>APARAT USG</w:t>
      </w:r>
      <w:r w:rsidR="004D3A78">
        <w:rPr>
          <w:b/>
          <w:bCs/>
          <w:iCs/>
          <w:color w:val="000000" w:themeColor="text1"/>
        </w:rPr>
        <w:t xml:space="preserve"> (kieszonkowy) – 2 szt.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50"/>
        <w:gridCol w:w="4023"/>
        <w:gridCol w:w="4820"/>
      </w:tblGrid>
      <w:tr w:rsidR="004D3A78" w14:paraId="701DD362" w14:textId="04660168" w:rsidTr="0030701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5A82DCB" w14:textId="77777777" w:rsidR="004D3A78" w:rsidRDefault="004D3A78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023" w:type="dxa"/>
            <w:shd w:val="clear" w:color="auto" w:fill="D9D9D9" w:themeFill="background1" w:themeFillShade="D9"/>
            <w:vAlign w:val="center"/>
          </w:tcPr>
          <w:p w14:paraId="3FF18569" w14:textId="77777777" w:rsidR="004D3A78" w:rsidRDefault="004D3A78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5850B6D1" w14:textId="1EBDA822" w:rsidR="004D3A78" w:rsidRDefault="004D3A78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PARAMETRY OFEROWANE (proszę opisać)*</w:t>
            </w:r>
          </w:p>
        </w:tc>
      </w:tr>
      <w:tr w:rsidR="004D3A78" w14:paraId="1BF73100" w14:textId="2B824712" w:rsidTr="000715D2">
        <w:trPr>
          <w:trHeight w:val="241"/>
        </w:trPr>
        <w:tc>
          <w:tcPr>
            <w:tcW w:w="650" w:type="dxa"/>
            <w:vAlign w:val="center"/>
          </w:tcPr>
          <w:p w14:paraId="43434067" w14:textId="77777777" w:rsidR="004D3A78" w:rsidRPr="005B4FD7" w:rsidRDefault="004D3A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023" w:type="dxa"/>
            <w:vAlign w:val="center"/>
          </w:tcPr>
          <w:p w14:paraId="060A752E" w14:textId="77777777" w:rsidR="004D3A78" w:rsidRPr="005B4FD7" w:rsidRDefault="004D3A78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820" w:type="dxa"/>
            <w:vAlign w:val="center"/>
          </w:tcPr>
          <w:p w14:paraId="3FED3A88" w14:textId="77777777" w:rsidR="004D3A78" w:rsidRPr="005B4FD7" w:rsidRDefault="004D3A78" w:rsidP="005B4FD7">
            <w:pPr>
              <w:jc w:val="center"/>
              <w:rPr>
                <w:b/>
                <w:sz w:val="20"/>
              </w:rPr>
            </w:pPr>
          </w:p>
        </w:tc>
      </w:tr>
      <w:tr w:rsidR="004D3A78" w14:paraId="5FF3C62A" w14:textId="0AEB47B4" w:rsidTr="00F2488B">
        <w:trPr>
          <w:trHeight w:val="241"/>
        </w:trPr>
        <w:tc>
          <w:tcPr>
            <w:tcW w:w="650" w:type="dxa"/>
            <w:vAlign w:val="center"/>
          </w:tcPr>
          <w:p w14:paraId="751F838B" w14:textId="77777777" w:rsidR="004D3A78" w:rsidRPr="005B4FD7" w:rsidRDefault="004D3A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023" w:type="dxa"/>
            <w:vAlign w:val="center"/>
          </w:tcPr>
          <w:p w14:paraId="550674B0" w14:textId="77777777" w:rsidR="004D3A78" w:rsidRPr="005B4FD7" w:rsidRDefault="004D3A78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820" w:type="dxa"/>
            <w:vAlign w:val="center"/>
          </w:tcPr>
          <w:p w14:paraId="7F2A8520" w14:textId="77777777" w:rsidR="004D3A78" w:rsidRPr="005B4FD7" w:rsidRDefault="004D3A78" w:rsidP="005B4FD7">
            <w:pPr>
              <w:jc w:val="center"/>
              <w:rPr>
                <w:b/>
                <w:sz w:val="20"/>
              </w:rPr>
            </w:pPr>
          </w:p>
        </w:tc>
      </w:tr>
      <w:tr w:rsidR="004D3A78" w14:paraId="49ACF293" w14:textId="1D421A6F" w:rsidTr="00DA4532">
        <w:trPr>
          <w:trHeight w:val="241"/>
        </w:trPr>
        <w:tc>
          <w:tcPr>
            <w:tcW w:w="650" w:type="dxa"/>
            <w:vAlign w:val="center"/>
          </w:tcPr>
          <w:p w14:paraId="26063078" w14:textId="77777777" w:rsidR="004D3A78" w:rsidRPr="005B4FD7" w:rsidRDefault="004D3A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023" w:type="dxa"/>
            <w:vAlign w:val="center"/>
          </w:tcPr>
          <w:p w14:paraId="567E450F" w14:textId="77777777" w:rsidR="004D3A78" w:rsidRPr="005B4FD7" w:rsidRDefault="004D3A78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820" w:type="dxa"/>
            <w:vAlign w:val="center"/>
          </w:tcPr>
          <w:p w14:paraId="0BFCC6E8" w14:textId="77777777" w:rsidR="004D3A78" w:rsidRPr="005B4FD7" w:rsidRDefault="004D3A78" w:rsidP="005B4FD7">
            <w:pPr>
              <w:jc w:val="center"/>
              <w:rPr>
                <w:b/>
                <w:sz w:val="20"/>
              </w:rPr>
            </w:pPr>
          </w:p>
        </w:tc>
      </w:tr>
      <w:tr w:rsidR="004D3A78" w14:paraId="55D53F50" w14:textId="7B6756B1" w:rsidTr="008B0B3A">
        <w:trPr>
          <w:trHeight w:val="494"/>
        </w:trPr>
        <w:tc>
          <w:tcPr>
            <w:tcW w:w="650" w:type="dxa"/>
            <w:vAlign w:val="center"/>
          </w:tcPr>
          <w:p w14:paraId="0AE2BDC2" w14:textId="77777777" w:rsidR="004D3A78" w:rsidRPr="005B4FD7" w:rsidRDefault="004D3A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023" w:type="dxa"/>
            <w:vAlign w:val="center"/>
          </w:tcPr>
          <w:p w14:paraId="3796727A" w14:textId="568972DC" w:rsidR="004D3A78" w:rsidRPr="005B4FD7" w:rsidRDefault="004D3A78" w:rsidP="0055707E">
            <w:pPr>
              <w:jc w:val="both"/>
              <w:rPr>
                <w:i/>
                <w:sz w:val="20"/>
              </w:rPr>
            </w:pPr>
            <w:r w:rsidRPr="00974843">
              <w:rPr>
                <w:b/>
                <w:sz w:val="20"/>
              </w:rPr>
              <w:t>Urządzenie fabrycznie nowe</w:t>
            </w:r>
          </w:p>
        </w:tc>
        <w:tc>
          <w:tcPr>
            <w:tcW w:w="4820" w:type="dxa"/>
            <w:vAlign w:val="center"/>
          </w:tcPr>
          <w:p w14:paraId="4675CF25" w14:textId="77777777" w:rsidR="004D3A78" w:rsidRPr="005B4FD7" w:rsidRDefault="004D3A78" w:rsidP="005B4FD7">
            <w:pPr>
              <w:jc w:val="center"/>
              <w:rPr>
                <w:b/>
                <w:sz w:val="20"/>
              </w:rPr>
            </w:pPr>
          </w:p>
        </w:tc>
      </w:tr>
      <w:tr w:rsidR="004D3A78" w14:paraId="78D09A3E" w14:textId="3098883F" w:rsidTr="00A473F2">
        <w:trPr>
          <w:trHeight w:val="265"/>
        </w:trPr>
        <w:tc>
          <w:tcPr>
            <w:tcW w:w="9493" w:type="dxa"/>
            <w:gridSpan w:val="3"/>
            <w:shd w:val="clear" w:color="auto" w:fill="D9D9D9" w:themeFill="background1" w:themeFillShade="D9"/>
            <w:vAlign w:val="center"/>
          </w:tcPr>
          <w:p w14:paraId="66AFAF80" w14:textId="5F452FED" w:rsidR="004D3A78" w:rsidRDefault="004D3A78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4D3A78" w14:paraId="65FAB95B" w14:textId="7CECC0CD" w:rsidTr="00B64EB5">
        <w:trPr>
          <w:trHeight w:val="241"/>
        </w:trPr>
        <w:tc>
          <w:tcPr>
            <w:tcW w:w="650" w:type="dxa"/>
            <w:vAlign w:val="center"/>
          </w:tcPr>
          <w:p w14:paraId="061A243E" w14:textId="77777777" w:rsidR="004D3A78" w:rsidRPr="005B4FD7" w:rsidRDefault="004D3A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vAlign w:val="center"/>
          </w:tcPr>
          <w:p w14:paraId="33ED0EEE" w14:textId="77890884" w:rsidR="004D3A78" w:rsidRPr="002F2655" w:rsidRDefault="004D3A78" w:rsidP="00504660">
            <w:pPr>
              <w:jc w:val="both"/>
              <w:rPr>
                <w:b/>
                <w:sz w:val="20"/>
                <w:szCs w:val="20"/>
              </w:rPr>
            </w:pPr>
            <w:r w:rsidRPr="000D470E">
              <w:rPr>
                <w:rFonts w:ascii="Century Gothic" w:hAnsi="Century Gothic" w:cstheme="minorHAnsi"/>
                <w:sz w:val="16"/>
                <w:szCs w:val="16"/>
              </w:rPr>
              <w:t xml:space="preserve">Urządzenie fabrycznie nowe, nieużywane do prezentacji, rok produkcji min. 2025, wyklucza się aparaty demo, </w:t>
            </w:r>
            <w:proofErr w:type="spellStart"/>
            <w:r w:rsidRPr="000D470E">
              <w:rPr>
                <w:rFonts w:ascii="Century Gothic" w:hAnsi="Century Gothic" w:cstheme="minorHAnsi"/>
                <w:sz w:val="16"/>
                <w:szCs w:val="16"/>
              </w:rPr>
              <w:t>rekondycjonowane</w:t>
            </w:r>
            <w:proofErr w:type="spellEnd"/>
            <w:r w:rsidRPr="000D470E">
              <w:rPr>
                <w:rFonts w:ascii="Century Gothic" w:hAnsi="Century Gothic" w:cstheme="minorHAnsi"/>
                <w:sz w:val="16"/>
                <w:szCs w:val="16"/>
              </w:rPr>
              <w:t xml:space="preserve"> itd.</w:t>
            </w:r>
          </w:p>
        </w:tc>
        <w:tc>
          <w:tcPr>
            <w:tcW w:w="4820" w:type="dxa"/>
            <w:vAlign w:val="center"/>
          </w:tcPr>
          <w:p w14:paraId="21AD699E" w14:textId="77777777" w:rsidR="004D3A78" w:rsidRPr="005B4FD7" w:rsidRDefault="004D3A78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5E08868B" w14:textId="14B990AB" w:rsidTr="003E0348">
        <w:trPr>
          <w:trHeight w:val="241"/>
        </w:trPr>
        <w:tc>
          <w:tcPr>
            <w:tcW w:w="650" w:type="dxa"/>
            <w:vAlign w:val="center"/>
          </w:tcPr>
          <w:p w14:paraId="75BA25A5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01432527" w14:textId="56D6A912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 xml:space="preserve">Przenośny ultrasonograf bezprzewodowy zawierający głowicę: liniową i </w:t>
            </w:r>
            <w:proofErr w:type="spellStart"/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convex</w:t>
            </w:r>
            <w:proofErr w:type="spellEnd"/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 xml:space="preserve"> – jako integralna całość</w:t>
            </w:r>
          </w:p>
        </w:tc>
        <w:tc>
          <w:tcPr>
            <w:tcW w:w="4820" w:type="dxa"/>
            <w:vAlign w:val="center"/>
          </w:tcPr>
          <w:p w14:paraId="2DEFA16D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07F8D17C" w14:textId="5D109A01" w:rsidTr="0043258D">
        <w:trPr>
          <w:trHeight w:val="241"/>
        </w:trPr>
        <w:tc>
          <w:tcPr>
            <w:tcW w:w="650" w:type="dxa"/>
            <w:vAlign w:val="center"/>
          </w:tcPr>
          <w:p w14:paraId="081E607F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1068A9C7" w14:textId="295B41F9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Ciężar głowicy poniżej 240 g</w:t>
            </w:r>
          </w:p>
        </w:tc>
        <w:tc>
          <w:tcPr>
            <w:tcW w:w="4820" w:type="dxa"/>
            <w:vAlign w:val="center"/>
          </w:tcPr>
          <w:p w14:paraId="60F0F62C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175CA7D9" w14:textId="1720DFB6" w:rsidTr="0058435E">
        <w:trPr>
          <w:trHeight w:val="241"/>
        </w:trPr>
        <w:tc>
          <w:tcPr>
            <w:tcW w:w="650" w:type="dxa"/>
            <w:vAlign w:val="center"/>
          </w:tcPr>
          <w:p w14:paraId="6F8923FD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7B36859C" w14:textId="004F8D4F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sz w:val="16"/>
                <w:szCs w:val="16"/>
              </w:rPr>
              <w:t>Możliwość połączenia bezprzewodowego ze smartfonem lub tabletem celem wyświetlenia obrazu ultrasonograficznego za pomocą dedykowanej aplikacji na systemie android lub IOS</w:t>
            </w:r>
          </w:p>
        </w:tc>
        <w:tc>
          <w:tcPr>
            <w:tcW w:w="4820" w:type="dxa"/>
            <w:vAlign w:val="center"/>
          </w:tcPr>
          <w:p w14:paraId="633307E8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7E4F02F6" w14:textId="37C3315D" w:rsidTr="006D2478">
        <w:trPr>
          <w:trHeight w:val="253"/>
        </w:trPr>
        <w:tc>
          <w:tcPr>
            <w:tcW w:w="650" w:type="dxa"/>
            <w:vAlign w:val="center"/>
          </w:tcPr>
          <w:p w14:paraId="589FEEB2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0A950BB8" w14:textId="23A84A3D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sz w:val="16"/>
                <w:szCs w:val="16"/>
              </w:rPr>
              <w:t>Obrazowanie B (2D), M-</w:t>
            </w:r>
            <w:proofErr w:type="spellStart"/>
            <w:r w:rsidRPr="006F64CB">
              <w:rPr>
                <w:rFonts w:ascii="Century Gothic" w:hAnsi="Century Gothic"/>
                <w:sz w:val="16"/>
                <w:szCs w:val="16"/>
              </w:rPr>
              <w:t>mode</w:t>
            </w:r>
            <w:proofErr w:type="spellEnd"/>
            <w:r w:rsidRPr="006F64CB">
              <w:rPr>
                <w:rFonts w:ascii="Century Gothic" w:hAnsi="Century Gothic"/>
                <w:sz w:val="16"/>
                <w:szCs w:val="16"/>
              </w:rPr>
              <w:t xml:space="preserve">, </w:t>
            </w:r>
            <w:proofErr w:type="spellStart"/>
            <w:r w:rsidRPr="006F64CB">
              <w:rPr>
                <w:rFonts w:ascii="Century Gothic" w:hAnsi="Century Gothic"/>
                <w:sz w:val="16"/>
                <w:szCs w:val="16"/>
              </w:rPr>
              <w:t>pw-doppler</w:t>
            </w:r>
            <w:proofErr w:type="spellEnd"/>
            <w:r w:rsidRPr="006F64CB">
              <w:rPr>
                <w:rFonts w:ascii="Century Gothic" w:hAnsi="Century Gothic"/>
                <w:sz w:val="16"/>
                <w:szCs w:val="16"/>
              </w:rPr>
              <w:t xml:space="preserve"> kolor </w:t>
            </w:r>
            <w:proofErr w:type="spellStart"/>
            <w:r w:rsidRPr="006F64CB">
              <w:rPr>
                <w:rFonts w:ascii="Century Gothic" w:hAnsi="Century Gothic"/>
                <w:sz w:val="16"/>
                <w:szCs w:val="16"/>
              </w:rPr>
              <w:t>doppler</w:t>
            </w:r>
            <w:proofErr w:type="spellEnd"/>
          </w:p>
        </w:tc>
        <w:tc>
          <w:tcPr>
            <w:tcW w:w="4820" w:type="dxa"/>
            <w:vAlign w:val="center"/>
          </w:tcPr>
          <w:p w14:paraId="56498DB5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44484A17" w14:textId="5ECE392F" w:rsidTr="008E3F39">
        <w:trPr>
          <w:trHeight w:val="241"/>
        </w:trPr>
        <w:tc>
          <w:tcPr>
            <w:tcW w:w="650" w:type="dxa"/>
            <w:vAlign w:val="center"/>
          </w:tcPr>
          <w:p w14:paraId="38318B48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5FB922FE" w14:textId="33C13070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Czas pracy naładowanej baterii minimum 45 minut</w:t>
            </w:r>
          </w:p>
        </w:tc>
        <w:tc>
          <w:tcPr>
            <w:tcW w:w="4820" w:type="dxa"/>
            <w:vAlign w:val="center"/>
          </w:tcPr>
          <w:p w14:paraId="2874B783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53D1A326" w14:textId="20B0E499" w:rsidTr="00F9670A">
        <w:trPr>
          <w:trHeight w:val="241"/>
        </w:trPr>
        <w:tc>
          <w:tcPr>
            <w:tcW w:w="650" w:type="dxa"/>
            <w:vAlign w:val="center"/>
          </w:tcPr>
          <w:p w14:paraId="244F2295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0AEE79E3" w14:textId="6044978F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bCs/>
                <w:kern w:val="2"/>
                <w:sz w:val="16"/>
                <w:szCs w:val="16"/>
                <w:lang w:eastAsia="ar-SA"/>
              </w:rPr>
              <w:t xml:space="preserve">Zakres  częstotliwości głowicy </w:t>
            </w:r>
            <w:proofErr w:type="spellStart"/>
            <w:r w:rsidRPr="006F64CB">
              <w:rPr>
                <w:rFonts w:ascii="Century Gothic" w:hAnsi="Century Gothic"/>
                <w:bCs/>
                <w:kern w:val="2"/>
                <w:sz w:val="16"/>
                <w:szCs w:val="16"/>
                <w:lang w:eastAsia="ar-SA"/>
              </w:rPr>
              <w:t>convex</w:t>
            </w:r>
            <w:proofErr w:type="spellEnd"/>
            <w:r w:rsidRPr="006F64CB">
              <w:rPr>
                <w:rFonts w:ascii="Century Gothic" w:hAnsi="Century Gothic"/>
                <w:bCs/>
                <w:kern w:val="2"/>
                <w:sz w:val="16"/>
                <w:szCs w:val="16"/>
                <w:lang w:eastAsia="ar-SA"/>
              </w:rPr>
              <w:t xml:space="preserve"> obejmujący przedział 2-5 MHz</w:t>
            </w:r>
          </w:p>
        </w:tc>
        <w:tc>
          <w:tcPr>
            <w:tcW w:w="4820" w:type="dxa"/>
            <w:vAlign w:val="center"/>
          </w:tcPr>
          <w:p w14:paraId="3D3E8A6A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6F7F02A0" w14:textId="2350CD44" w:rsidTr="00C71E7F">
        <w:trPr>
          <w:trHeight w:val="241"/>
        </w:trPr>
        <w:tc>
          <w:tcPr>
            <w:tcW w:w="650" w:type="dxa"/>
            <w:vAlign w:val="center"/>
          </w:tcPr>
          <w:p w14:paraId="2C6CBD66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62AACEAA" w14:textId="3C80806C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iCs/>
                <w:sz w:val="16"/>
                <w:szCs w:val="16"/>
              </w:rPr>
              <w:t xml:space="preserve">Ilość elementów w głowicy </w:t>
            </w:r>
            <w:proofErr w:type="spellStart"/>
            <w:r w:rsidRPr="006F64CB">
              <w:rPr>
                <w:rFonts w:ascii="Century Gothic" w:hAnsi="Century Gothic"/>
                <w:iCs/>
                <w:sz w:val="16"/>
                <w:szCs w:val="16"/>
              </w:rPr>
              <w:t>convex</w:t>
            </w:r>
            <w:proofErr w:type="spellEnd"/>
            <w:r w:rsidRPr="006F64CB">
              <w:rPr>
                <w:rFonts w:ascii="Century Gothic" w:hAnsi="Century Gothic"/>
                <w:iCs/>
                <w:sz w:val="16"/>
                <w:szCs w:val="16"/>
              </w:rPr>
              <w:t xml:space="preserve"> minimum 128</w:t>
            </w:r>
          </w:p>
        </w:tc>
        <w:tc>
          <w:tcPr>
            <w:tcW w:w="4820" w:type="dxa"/>
            <w:vAlign w:val="center"/>
          </w:tcPr>
          <w:p w14:paraId="6DDF6B7D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366D1116" w14:textId="2F2B86AF" w:rsidTr="004937E7">
        <w:trPr>
          <w:trHeight w:val="241"/>
        </w:trPr>
        <w:tc>
          <w:tcPr>
            <w:tcW w:w="650" w:type="dxa"/>
            <w:vAlign w:val="center"/>
          </w:tcPr>
          <w:p w14:paraId="7694B692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422D0862" w14:textId="2F14E987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iCs/>
                <w:sz w:val="16"/>
                <w:szCs w:val="16"/>
              </w:rPr>
              <w:t xml:space="preserve">Kąt pola obrazu głowicy </w:t>
            </w:r>
            <w:proofErr w:type="spellStart"/>
            <w:r w:rsidRPr="006F64CB">
              <w:rPr>
                <w:rFonts w:ascii="Century Gothic" w:hAnsi="Century Gothic"/>
                <w:iCs/>
                <w:sz w:val="16"/>
                <w:szCs w:val="16"/>
              </w:rPr>
              <w:t>convex</w:t>
            </w:r>
            <w:proofErr w:type="spellEnd"/>
            <w:r w:rsidRPr="006F64CB">
              <w:rPr>
                <w:rFonts w:ascii="Century Gothic" w:hAnsi="Century Gothic"/>
                <w:iCs/>
                <w:sz w:val="16"/>
                <w:szCs w:val="16"/>
              </w:rPr>
              <w:t xml:space="preserve"> minimum 58°</w:t>
            </w:r>
          </w:p>
        </w:tc>
        <w:tc>
          <w:tcPr>
            <w:tcW w:w="4820" w:type="dxa"/>
            <w:vAlign w:val="center"/>
          </w:tcPr>
          <w:p w14:paraId="33DAAD2F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251A2B0D" w14:textId="6732B418" w:rsidTr="00374298">
        <w:trPr>
          <w:trHeight w:val="241"/>
        </w:trPr>
        <w:tc>
          <w:tcPr>
            <w:tcW w:w="650" w:type="dxa"/>
            <w:vAlign w:val="center"/>
          </w:tcPr>
          <w:p w14:paraId="11354A71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44759589" w14:textId="29DDBED8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 xml:space="preserve">Głębokość obrazowania głowicy </w:t>
            </w:r>
            <w:proofErr w:type="spellStart"/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convex</w:t>
            </w:r>
            <w:proofErr w:type="spellEnd"/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 xml:space="preserve"> minimum 20 cm</w:t>
            </w:r>
          </w:p>
        </w:tc>
        <w:tc>
          <w:tcPr>
            <w:tcW w:w="4820" w:type="dxa"/>
            <w:vAlign w:val="center"/>
          </w:tcPr>
          <w:p w14:paraId="1F33FCA0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6889CC3B" w14:textId="286F3BED" w:rsidTr="0003120B">
        <w:trPr>
          <w:trHeight w:val="253"/>
        </w:trPr>
        <w:tc>
          <w:tcPr>
            <w:tcW w:w="650" w:type="dxa"/>
            <w:vAlign w:val="center"/>
          </w:tcPr>
          <w:p w14:paraId="77F26843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2996CAAD" w14:textId="0F2C89A8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iCs/>
                <w:sz w:val="16"/>
                <w:szCs w:val="16"/>
              </w:rPr>
              <w:t>Zakres częstotliwości głowicy liniowej obejmujący przedział 4-12 MHz</w:t>
            </w:r>
          </w:p>
        </w:tc>
        <w:tc>
          <w:tcPr>
            <w:tcW w:w="4820" w:type="dxa"/>
            <w:vAlign w:val="center"/>
          </w:tcPr>
          <w:p w14:paraId="4E5AB69C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021F3D6B" w14:textId="091C4B67" w:rsidTr="00152D54">
        <w:trPr>
          <w:trHeight w:val="241"/>
        </w:trPr>
        <w:tc>
          <w:tcPr>
            <w:tcW w:w="650" w:type="dxa"/>
            <w:vAlign w:val="center"/>
          </w:tcPr>
          <w:p w14:paraId="096CDECF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30AC69D7" w14:textId="62FE1C5A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bCs/>
                <w:kern w:val="2"/>
                <w:sz w:val="16"/>
                <w:szCs w:val="16"/>
                <w:lang w:eastAsia="ar-SA"/>
              </w:rPr>
              <w:t>Ilość elementów w głowicy liniowej minimum 192</w:t>
            </w:r>
          </w:p>
        </w:tc>
        <w:tc>
          <w:tcPr>
            <w:tcW w:w="4820" w:type="dxa"/>
            <w:vAlign w:val="center"/>
          </w:tcPr>
          <w:p w14:paraId="1D8561E5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2BFBCA97" w14:textId="21095FDE" w:rsidTr="007671E7">
        <w:trPr>
          <w:trHeight w:val="241"/>
        </w:trPr>
        <w:tc>
          <w:tcPr>
            <w:tcW w:w="650" w:type="dxa"/>
            <w:vAlign w:val="center"/>
          </w:tcPr>
          <w:p w14:paraId="0383EB32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76E28EEA" w14:textId="302B51C4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bCs/>
                <w:kern w:val="2"/>
                <w:sz w:val="16"/>
                <w:szCs w:val="16"/>
                <w:lang w:eastAsia="ar-SA"/>
              </w:rPr>
              <w:t>Szerokość czoła głowicy liniowej zakresu 38-42 mm</w:t>
            </w:r>
          </w:p>
        </w:tc>
        <w:tc>
          <w:tcPr>
            <w:tcW w:w="4820" w:type="dxa"/>
            <w:vAlign w:val="center"/>
          </w:tcPr>
          <w:p w14:paraId="7FAF7AAC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3B7C068B" w14:textId="0A020D14" w:rsidTr="004F7344">
        <w:trPr>
          <w:trHeight w:val="241"/>
        </w:trPr>
        <w:tc>
          <w:tcPr>
            <w:tcW w:w="650" w:type="dxa"/>
            <w:vAlign w:val="center"/>
          </w:tcPr>
          <w:p w14:paraId="7597D533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5CDAF744" w14:textId="167B5EB9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Możliwość pomiaru odległości, obwodu, prędkości, nachylenia, częstości akcji serca</w:t>
            </w:r>
          </w:p>
        </w:tc>
        <w:tc>
          <w:tcPr>
            <w:tcW w:w="4820" w:type="dxa"/>
            <w:vAlign w:val="center"/>
          </w:tcPr>
          <w:p w14:paraId="0BBC5DA9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762D2F82" w14:textId="5461C202" w:rsidTr="004B1E64">
        <w:trPr>
          <w:trHeight w:val="241"/>
        </w:trPr>
        <w:tc>
          <w:tcPr>
            <w:tcW w:w="650" w:type="dxa"/>
            <w:vAlign w:val="center"/>
          </w:tcPr>
          <w:p w14:paraId="2013CCE7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32A87B8E" w14:textId="17F24DE6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 xml:space="preserve">Zapis obrazów i filmów w pamięci podłączonego </w:t>
            </w:r>
            <w:proofErr w:type="spellStart"/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smartfona</w:t>
            </w:r>
            <w:proofErr w:type="spellEnd"/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 xml:space="preserve"> lub tabletu</w:t>
            </w:r>
          </w:p>
        </w:tc>
        <w:tc>
          <w:tcPr>
            <w:tcW w:w="4820" w:type="dxa"/>
            <w:vAlign w:val="center"/>
          </w:tcPr>
          <w:p w14:paraId="455CA79C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15390E32" w14:textId="0E96E032" w:rsidTr="00375643">
        <w:trPr>
          <w:trHeight w:val="253"/>
        </w:trPr>
        <w:tc>
          <w:tcPr>
            <w:tcW w:w="650" w:type="dxa"/>
            <w:vAlign w:val="center"/>
          </w:tcPr>
          <w:p w14:paraId="3E847CE5" w14:textId="77777777" w:rsidR="004D3A78" w:rsidRPr="005B4FD7" w:rsidRDefault="004D3A78" w:rsidP="002F265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FFFFFF"/>
          </w:tcPr>
          <w:p w14:paraId="7BB841F7" w14:textId="4C266A7F" w:rsidR="004D3A78" w:rsidRPr="00504660" w:rsidRDefault="004D3A78" w:rsidP="002F2655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Transfer obrazów w sieci DICOM</w:t>
            </w:r>
          </w:p>
        </w:tc>
        <w:tc>
          <w:tcPr>
            <w:tcW w:w="4820" w:type="dxa"/>
            <w:vAlign w:val="center"/>
          </w:tcPr>
          <w:p w14:paraId="4D238D71" w14:textId="77777777" w:rsidR="004D3A78" w:rsidRPr="005B4FD7" w:rsidRDefault="004D3A78" w:rsidP="002F26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16847E95" w14:textId="67F6197D" w:rsidTr="00173346">
        <w:trPr>
          <w:trHeight w:val="241"/>
        </w:trPr>
        <w:tc>
          <w:tcPr>
            <w:tcW w:w="650" w:type="dxa"/>
            <w:vAlign w:val="center"/>
          </w:tcPr>
          <w:p w14:paraId="48E24C5C" w14:textId="77777777" w:rsidR="004D3A78" w:rsidRPr="005B4FD7" w:rsidRDefault="004D3A78" w:rsidP="003555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vAlign w:val="center"/>
          </w:tcPr>
          <w:p w14:paraId="2C98481B" w14:textId="5B894AF2" w:rsidR="004D3A78" w:rsidRPr="00504660" w:rsidRDefault="004D3A78" w:rsidP="0035553D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Ładowarka umożliwiająca bezprzewodowe ładowanie akumulatora, bez konieczności jego wyciągania z aparatu.</w:t>
            </w:r>
          </w:p>
        </w:tc>
        <w:tc>
          <w:tcPr>
            <w:tcW w:w="4820" w:type="dxa"/>
            <w:vAlign w:val="center"/>
          </w:tcPr>
          <w:p w14:paraId="673CD0C3" w14:textId="77777777" w:rsidR="004D3A78" w:rsidRPr="005B4FD7" w:rsidRDefault="004D3A78" w:rsidP="0035553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377A17E3" w14:textId="2321A873" w:rsidTr="003E257D">
        <w:trPr>
          <w:trHeight w:val="241"/>
        </w:trPr>
        <w:tc>
          <w:tcPr>
            <w:tcW w:w="650" w:type="dxa"/>
            <w:vAlign w:val="center"/>
          </w:tcPr>
          <w:p w14:paraId="73F8C7D5" w14:textId="77777777" w:rsidR="004D3A78" w:rsidRPr="005B4FD7" w:rsidRDefault="004D3A78" w:rsidP="003555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2A172EF1" w14:textId="3AA0E967" w:rsidR="004D3A78" w:rsidRPr="00504660" w:rsidRDefault="004D3A78" w:rsidP="0035553D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Tablet typu iPad o przekątnej minimum 10” z zainstalowanym oprogramowaniem aplikacyjnym</w:t>
            </w:r>
          </w:p>
        </w:tc>
        <w:tc>
          <w:tcPr>
            <w:tcW w:w="4820" w:type="dxa"/>
            <w:vAlign w:val="center"/>
          </w:tcPr>
          <w:p w14:paraId="5D4814EC" w14:textId="77777777" w:rsidR="004D3A78" w:rsidRPr="005B4FD7" w:rsidRDefault="004D3A78" w:rsidP="0035553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79FB1FF2" w14:textId="31579713" w:rsidTr="001B2978">
        <w:trPr>
          <w:trHeight w:val="241"/>
        </w:trPr>
        <w:tc>
          <w:tcPr>
            <w:tcW w:w="650" w:type="dxa"/>
            <w:vAlign w:val="center"/>
          </w:tcPr>
          <w:p w14:paraId="61F329B8" w14:textId="77777777" w:rsidR="004D3A78" w:rsidRPr="005B4FD7" w:rsidRDefault="004D3A78" w:rsidP="003555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489451E8" w14:textId="6B0F4A9F" w:rsidR="004D3A78" w:rsidRPr="00504660" w:rsidRDefault="004D3A78" w:rsidP="0035553D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Dedykowany do tabletu statyw na kółkach z półką (koszem) na akcesoria</w:t>
            </w:r>
          </w:p>
        </w:tc>
        <w:tc>
          <w:tcPr>
            <w:tcW w:w="4820" w:type="dxa"/>
            <w:vAlign w:val="center"/>
          </w:tcPr>
          <w:p w14:paraId="084B789E" w14:textId="77777777" w:rsidR="004D3A78" w:rsidRPr="005B4FD7" w:rsidRDefault="004D3A78" w:rsidP="0035553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5FB96645" w14:textId="525EE82A" w:rsidTr="000A2273">
        <w:trPr>
          <w:trHeight w:val="241"/>
        </w:trPr>
        <w:tc>
          <w:tcPr>
            <w:tcW w:w="650" w:type="dxa"/>
            <w:vAlign w:val="center"/>
          </w:tcPr>
          <w:p w14:paraId="2E8ABCF2" w14:textId="77777777" w:rsidR="004D3A78" w:rsidRPr="0035553D" w:rsidRDefault="004D3A78" w:rsidP="0035553D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1B7F512E" w14:textId="2AA96EB3" w:rsidR="004D3A78" w:rsidRPr="006F64CB" w:rsidRDefault="004D3A78" w:rsidP="0035553D">
            <w:pPr>
              <w:jc w:val="both"/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</w:pPr>
            <w:r>
              <w:rPr>
                <w:rFonts w:ascii="Century Gothic" w:hAnsi="Century Gothic"/>
                <w:kern w:val="2"/>
                <w:sz w:val="16"/>
                <w:szCs w:val="16"/>
                <w:lang w:eastAsia="ar-SA"/>
              </w:rPr>
              <w:t>POZOSTAŁE WYMAGANIA</w:t>
            </w:r>
          </w:p>
        </w:tc>
        <w:tc>
          <w:tcPr>
            <w:tcW w:w="4820" w:type="dxa"/>
            <w:vAlign w:val="center"/>
          </w:tcPr>
          <w:p w14:paraId="1DFD77E4" w14:textId="77777777" w:rsidR="004D3A78" w:rsidRPr="005B4FD7" w:rsidRDefault="004D3A78" w:rsidP="0035553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081CDCB1" w14:textId="1FED1722" w:rsidTr="00647298">
        <w:trPr>
          <w:trHeight w:val="241"/>
        </w:trPr>
        <w:tc>
          <w:tcPr>
            <w:tcW w:w="650" w:type="dxa"/>
            <w:vAlign w:val="center"/>
          </w:tcPr>
          <w:p w14:paraId="32057CA1" w14:textId="77777777" w:rsidR="004D3A78" w:rsidRPr="005B4FD7" w:rsidRDefault="004D3A78" w:rsidP="003555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178AEDC1" w14:textId="092F7328" w:rsidR="004D3A78" w:rsidRPr="00504660" w:rsidRDefault="004D3A78" w:rsidP="0035553D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Szkolenie z obsługi dla personelu w siedzibie Zamawiającego w terminie uzgodnionym z Zamawiającym, przed podpisaniem protokołu odbioru końcowego.</w:t>
            </w:r>
          </w:p>
        </w:tc>
        <w:tc>
          <w:tcPr>
            <w:tcW w:w="4820" w:type="dxa"/>
            <w:vAlign w:val="center"/>
          </w:tcPr>
          <w:p w14:paraId="659D3AC2" w14:textId="77777777" w:rsidR="004D3A78" w:rsidRPr="005B4FD7" w:rsidRDefault="004D3A78" w:rsidP="0035553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7498B3C9" w14:textId="5BE40249" w:rsidTr="00A33496">
        <w:trPr>
          <w:trHeight w:val="241"/>
        </w:trPr>
        <w:tc>
          <w:tcPr>
            <w:tcW w:w="650" w:type="dxa"/>
            <w:vAlign w:val="center"/>
          </w:tcPr>
          <w:p w14:paraId="564B38BB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vAlign w:val="center"/>
          </w:tcPr>
          <w:p w14:paraId="1ECC543F" w14:textId="501ECF58" w:rsidR="004D3A78" w:rsidRPr="00504660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 xml:space="preserve">Wykonawca sporządzi protokół z przeprowadzonych szkoleń (z podpisami osób </w:t>
            </w: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lastRenderedPageBreak/>
              <w:t>przeszkolonych) bezpośrednio po ich przeprowadzeniu.</w:t>
            </w:r>
          </w:p>
        </w:tc>
        <w:tc>
          <w:tcPr>
            <w:tcW w:w="4820" w:type="dxa"/>
            <w:vAlign w:val="center"/>
          </w:tcPr>
          <w:p w14:paraId="5538943E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2BEC452B" w14:textId="769BF3AC" w:rsidTr="00296DB4">
        <w:trPr>
          <w:trHeight w:val="241"/>
        </w:trPr>
        <w:tc>
          <w:tcPr>
            <w:tcW w:w="650" w:type="dxa"/>
            <w:vAlign w:val="center"/>
          </w:tcPr>
          <w:p w14:paraId="57167EDF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150E150B" w14:textId="5E4BA61E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Gwarancja minimum 24 m-ce</w:t>
            </w:r>
          </w:p>
        </w:tc>
        <w:tc>
          <w:tcPr>
            <w:tcW w:w="4820" w:type="dxa"/>
            <w:vAlign w:val="center"/>
          </w:tcPr>
          <w:p w14:paraId="57E015ED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6F66C921" w14:textId="4AB61C75" w:rsidTr="00150D49">
        <w:trPr>
          <w:trHeight w:val="241"/>
        </w:trPr>
        <w:tc>
          <w:tcPr>
            <w:tcW w:w="650" w:type="dxa"/>
            <w:vAlign w:val="center"/>
          </w:tcPr>
          <w:p w14:paraId="48CB1EE9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336DB8F2" w14:textId="61D33453" w:rsidR="004D3A78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Autoryzowany serwis gwarancyjny i pogwarancyjny.</w:t>
            </w:r>
          </w:p>
        </w:tc>
        <w:tc>
          <w:tcPr>
            <w:tcW w:w="4820" w:type="dxa"/>
            <w:vAlign w:val="center"/>
          </w:tcPr>
          <w:p w14:paraId="476E9BE8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1DAC2B5D" w14:textId="795FE03B" w:rsidTr="00B7278A">
        <w:trPr>
          <w:trHeight w:val="241"/>
        </w:trPr>
        <w:tc>
          <w:tcPr>
            <w:tcW w:w="650" w:type="dxa"/>
            <w:vAlign w:val="center"/>
          </w:tcPr>
          <w:p w14:paraId="51C569F1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1D7E24A2" w14:textId="04210D64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 xml:space="preserve">Okres zagwarantowania dostępności i możliwości zakupu przez zamawiającego w serwisie Wykonawcy części zamiennych, peryferyjnych oraz wyposażenia eksploatacyjnego powinien wynosić minimum 10 lat od daty przekazania przedmiotu przetargu do eksploatacji.  </w:t>
            </w:r>
          </w:p>
        </w:tc>
        <w:tc>
          <w:tcPr>
            <w:tcW w:w="4820" w:type="dxa"/>
            <w:vAlign w:val="center"/>
          </w:tcPr>
          <w:p w14:paraId="6E2A262D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3FB0B0AF" w14:textId="6207782B" w:rsidTr="00C731A1">
        <w:trPr>
          <w:trHeight w:val="241"/>
        </w:trPr>
        <w:tc>
          <w:tcPr>
            <w:tcW w:w="650" w:type="dxa"/>
            <w:vAlign w:val="center"/>
          </w:tcPr>
          <w:p w14:paraId="38FE9C50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3E9D57A2" w14:textId="77777777" w:rsidR="004D3A78" w:rsidRPr="006F64CB" w:rsidRDefault="004D3A78" w:rsidP="00005EAF">
            <w:pPr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Czas reakcji serwisu w okresie gwarancji od chwili zgłoszenia awarii czyli pojawienie się pracownika serwisu w miejscu awarii w dni robocze max 24 godzin.</w:t>
            </w: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br/>
              <w:t>Czas skutecznej naprawy maksimum 7 dni kalendarzowych.</w:t>
            </w:r>
          </w:p>
          <w:p w14:paraId="1ABF8766" w14:textId="3537AC42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Czas skutecznej naprawy, wymagającej importu części spoza terenu Polski, maksimum 14 dni kalendarzowych.</w:t>
            </w:r>
          </w:p>
        </w:tc>
        <w:tc>
          <w:tcPr>
            <w:tcW w:w="4820" w:type="dxa"/>
            <w:vAlign w:val="center"/>
          </w:tcPr>
          <w:p w14:paraId="5399F225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1EF99B16" w14:textId="53EB5E31" w:rsidTr="00D20E1B">
        <w:trPr>
          <w:trHeight w:val="241"/>
        </w:trPr>
        <w:tc>
          <w:tcPr>
            <w:tcW w:w="650" w:type="dxa"/>
            <w:vAlign w:val="center"/>
          </w:tcPr>
          <w:p w14:paraId="72757D9D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2060D80A" w14:textId="738F64F1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 xml:space="preserve">W przypadku naprawy trwającej dłużej niż 7 dni kalendarzowych Wykonawca zapewni sprzęt zastępczy o parametrach </w:t>
            </w:r>
            <w:proofErr w:type="spellStart"/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niegorszych</w:t>
            </w:r>
            <w:proofErr w:type="spellEnd"/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 xml:space="preserve"> niż oferowany.</w:t>
            </w:r>
          </w:p>
        </w:tc>
        <w:tc>
          <w:tcPr>
            <w:tcW w:w="4820" w:type="dxa"/>
            <w:vAlign w:val="center"/>
          </w:tcPr>
          <w:p w14:paraId="07895519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6C598F3A" w14:textId="3A9244A6" w:rsidTr="00B204D6">
        <w:trPr>
          <w:trHeight w:val="241"/>
        </w:trPr>
        <w:tc>
          <w:tcPr>
            <w:tcW w:w="650" w:type="dxa"/>
            <w:vAlign w:val="center"/>
          </w:tcPr>
          <w:p w14:paraId="53C09781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</w:tcPr>
          <w:p w14:paraId="1E810176" w14:textId="085B63E8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W okresie gwarancji Wykonawca zobowiązany jest do wykonywania  przeglądów zgodnie z zaleceniami producenta oraz wykonywania obowiązkowych testów specjalistycznych. Koszty przeglądów wliczone w cenę oferty.</w:t>
            </w:r>
          </w:p>
        </w:tc>
        <w:tc>
          <w:tcPr>
            <w:tcW w:w="4820" w:type="dxa"/>
            <w:vAlign w:val="center"/>
          </w:tcPr>
          <w:p w14:paraId="1860605C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746F8C5B" w14:textId="445D6AE9" w:rsidTr="009130E3">
        <w:trPr>
          <w:trHeight w:val="241"/>
        </w:trPr>
        <w:tc>
          <w:tcPr>
            <w:tcW w:w="650" w:type="dxa"/>
            <w:vAlign w:val="center"/>
          </w:tcPr>
          <w:p w14:paraId="42E66116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vAlign w:val="bottom"/>
          </w:tcPr>
          <w:p w14:paraId="1B275F3D" w14:textId="6E180386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 xml:space="preserve">Certyfikat ISO 13485 dla producenta </w:t>
            </w:r>
          </w:p>
        </w:tc>
        <w:tc>
          <w:tcPr>
            <w:tcW w:w="4820" w:type="dxa"/>
            <w:vAlign w:val="center"/>
          </w:tcPr>
          <w:p w14:paraId="4EDB3D0B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710AC894" w14:textId="4BC1A503" w:rsidTr="00F2334A">
        <w:trPr>
          <w:trHeight w:val="241"/>
        </w:trPr>
        <w:tc>
          <w:tcPr>
            <w:tcW w:w="650" w:type="dxa"/>
            <w:vAlign w:val="center"/>
          </w:tcPr>
          <w:p w14:paraId="5A4F86C7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FFFFFF"/>
          </w:tcPr>
          <w:p w14:paraId="37F2721C" w14:textId="44A48364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Deklaracja zgodności CE wydana przez producenta</w:t>
            </w:r>
          </w:p>
        </w:tc>
        <w:tc>
          <w:tcPr>
            <w:tcW w:w="4820" w:type="dxa"/>
            <w:vAlign w:val="center"/>
          </w:tcPr>
          <w:p w14:paraId="5EE45202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5B8FD568" w14:textId="782B0278" w:rsidTr="004D4DC6">
        <w:trPr>
          <w:trHeight w:val="241"/>
        </w:trPr>
        <w:tc>
          <w:tcPr>
            <w:tcW w:w="650" w:type="dxa"/>
            <w:vAlign w:val="center"/>
          </w:tcPr>
          <w:p w14:paraId="4FD59FAF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FFFFFF"/>
          </w:tcPr>
          <w:p w14:paraId="515BECD1" w14:textId="51753E67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Calibri"/>
                <w:kern w:val="2"/>
                <w:sz w:val="16"/>
                <w:szCs w:val="16"/>
              </w:rPr>
              <w:t>Świadectwo rejestracji, świadectwo dopuszczenia do obrotu, świadectwo jakości w języku polskim, kserokopie aktualnych certyfikatów dopuszczających dostarczony sprzęt do stosowania w jednostkach służby zdrowia lub równoważne</w:t>
            </w:r>
          </w:p>
        </w:tc>
        <w:tc>
          <w:tcPr>
            <w:tcW w:w="4820" w:type="dxa"/>
            <w:vAlign w:val="center"/>
          </w:tcPr>
          <w:p w14:paraId="250ABD71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711F6E0C" w14:textId="281257AB" w:rsidTr="00FD35C9">
        <w:trPr>
          <w:trHeight w:val="241"/>
        </w:trPr>
        <w:tc>
          <w:tcPr>
            <w:tcW w:w="650" w:type="dxa"/>
            <w:vAlign w:val="center"/>
          </w:tcPr>
          <w:p w14:paraId="180A12B9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FFFFFF"/>
          </w:tcPr>
          <w:p w14:paraId="557D0957" w14:textId="3DA937F8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Bezpłatne przeglądy okresowe przez cały okres gwarancji, niezależnie od zaleceń producenta, na koszt Wykonawcy</w:t>
            </w:r>
          </w:p>
        </w:tc>
        <w:tc>
          <w:tcPr>
            <w:tcW w:w="4820" w:type="dxa"/>
            <w:vAlign w:val="center"/>
          </w:tcPr>
          <w:p w14:paraId="62B9F6C3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31CCC8E5" w14:textId="133C8729" w:rsidTr="00BF19D5">
        <w:trPr>
          <w:trHeight w:val="241"/>
        </w:trPr>
        <w:tc>
          <w:tcPr>
            <w:tcW w:w="650" w:type="dxa"/>
            <w:vAlign w:val="center"/>
          </w:tcPr>
          <w:p w14:paraId="28A793F2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FFFFFF"/>
            <w:vAlign w:val="bottom"/>
          </w:tcPr>
          <w:p w14:paraId="3FE3867A" w14:textId="6C5B10AE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Arial"/>
                <w:color w:val="000000"/>
                <w:kern w:val="2"/>
                <w:sz w:val="16"/>
                <w:szCs w:val="16"/>
              </w:rPr>
              <w:t>Instrukcja do sprzętu w języku polskim (wraz z dostawą przedmiotu postępowania)</w:t>
            </w:r>
          </w:p>
        </w:tc>
        <w:tc>
          <w:tcPr>
            <w:tcW w:w="4820" w:type="dxa"/>
            <w:vAlign w:val="center"/>
          </w:tcPr>
          <w:p w14:paraId="1419EE17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D3A78" w14:paraId="27FF890B" w14:textId="41CF92B1" w:rsidTr="003E132F">
        <w:trPr>
          <w:trHeight w:val="241"/>
        </w:trPr>
        <w:tc>
          <w:tcPr>
            <w:tcW w:w="650" w:type="dxa"/>
            <w:vAlign w:val="center"/>
          </w:tcPr>
          <w:p w14:paraId="0E3982E8" w14:textId="77777777" w:rsidR="004D3A78" w:rsidRPr="005B4FD7" w:rsidRDefault="004D3A78" w:rsidP="00005EA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FFFFFF"/>
          </w:tcPr>
          <w:p w14:paraId="4F5FB966" w14:textId="025FD04A" w:rsidR="004D3A78" w:rsidRPr="002F2655" w:rsidRDefault="004D3A78" w:rsidP="00005EAF">
            <w:pPr>
              <w:jc w:val="both"/>
              <w:rPr>
                <w:bCs/>
                <w:sz w:val="20"/>
                <w:szCs w:val="20"/>
              </w:rPr>
            </w:pPr>
            <w:r w:rsidRPr="006F64CB">
              <w:rPr>
                <w:rFonts w:ascii="Century Gothic" w:eastAsia="Calibri" w:hAnsi="Century Gothic" w:cs="Calibri"/>
                <w:kern w:val="2"/>
                <w:sz w:val="16"/>
                <w:szCs w:val="16"/>
              </w:rPr>
              <w:t>Wszystkie licencje potrzebne do prawidłowego działania urządzenia Wykonawca przekaże Zamawiającemu. Licencje muszą być bezterminowe.</w:t>
            </w:r>
          </w:p>
        </w:tc>
        <w:tc>
          <w:tcPr>
            <w:tcW w:w="4820" w:type="dxa"/>
            <w:vAlign w:val="center"/>
          </w:tcPr>
          <w:p w14:paraId="533B5BD4" w14:textId="77777777" w:rsidR="004D3A78" w:rsidRPr="005B4FD7" w:rsidRDefault="004D3A78" w:rsidP="00005EAF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5E99904" w14:textId="77777777" w:rsidR="004D3A78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</w:t>
      </w:r>
    </w:p>
    <w:p w14:paraId="77F57689" w14:textId="77777777" w:rsidR="004D3A78" w:rsidRDefault="004D3A78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07D47E82" w14:textId="77777777" w:rsidR="004D3A78" w:rsidRPr="004810B9" w:rsidRDefault="004D3A78" w:rsidP="004D3A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7E05E3EA" w14:textId="77777777" w:rsidR="004D3A78" w:rsidRPr="004810B9" w:rsidRDefault="004D3A78" w:rsidP="004D3A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43058C08" w14:textId="77777777" w:rsidR="004D3A78" w:rsidRPr="004810B9" w:rsidRDefault="004D3A78" w:rsidP="004D3A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46D9EAD8" w14:textId="77777777" w:rsidR="004D3A78" w:rsidRDefault="004D3A78" w:rsidP="004D3A78">
      <w:pPr>
        <w:spacing w:line="240" w:lineRule="auto"/>
        <w:jc w:val="right"/>
        <w:rPr>
          <w:rFonts w:ascii="Arial Narrow" w:hAnsi="Arial Narrow"/>
        </w:rPr>
      </w:pPr>
    </w:p>
    <w:p w14:paraId="31133570" w14:textId="77777777" w:rsidR="004D3A78" w:rsidRDefault="004D3A78" w:rsidP="004D3A78">
      <w:pPr>
        <w:spacing w:line="240" w:lineRule="auto"/>
        <w:jc w:val="right"/>
        <w:rPr>
          <w:rFonts w:ascii="Arial Narrow" w:hAnsi="Arial Narrow"/>
        </w:rPr>
      </w:pPr>
    </w:p>
    <w:p w14:paraId="48F5E2C7" w14:textId="77777777" w:rsidR="004D3A78" w:rsidRDefault="004D3A78" w:rsidP="004D3A78">
      <w:pPr>
        <w:spacing w:line="240" w:lineRule="auto"/>
        <w:jc w:val="right"/>
        <w:rPr>
          <w:rFonts w:ascii="Arial Narrow" w:hAnsi="Arial Narrow"/>
        </w:rPr>
      </w:pPr>
    </w:p>
    <w:p w14:paraId="1C09C503" w14:textId="77777777" w:rsidR="004D3A78" w:rsidRPr="00930771" w:rsidRDefault="004D3A78" w:rsidP="004D3A78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lastRenderedPageBreak/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3DD7B9F7" w14:textId="77777777" w:rsidR="004D3A78" w:rsidRPr="00472D51" w:rsidRDefault="004D3A78" w:rsidP="004D3A78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56A4BF81" w14:textId="77777777" w:rsidR="005B4FD7" w:rsidRPr="005B4FD7" w:rsidRDefault="005B4FD7" w:rsidP="004D3A78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4AB77" w14:textId="77777777" w:rsidR="000B0E46" w:rsidRDefault="000B0E46" w:rsidP="00005EAF">
      <w:pPr>
        <w:spacing w:after="0" w:line="240" w:lineRule="auto"/>
      </w:pPr>
      <w:r>
        <w:separator/>
      </w:r>
    </w:p>
  </w:endnote>
  <w:endnote w:type="continuationSeparator" w:id="0">
    <w:p w14:paraId="6C9BD16A" w14:textId="77777777" w:rsidR="000B0E46" w:rsidRDefault="000B0E46" w:rsidP="00005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7677A" w14:textId="77777777" w:rsidR="000B0E46" w:rsidRDefault="000B0E46" w:rsidP="00005EAF">
      <w:pPr>
        <w:spacing w:after="0" w:line="240" w:lineRule="auto"/>
      </w:pPr>
      <w:r>
        <w:separator/>
      </w:r>
    </w:p>
  </w:footnote>
  <w:footnote w:type="continuationSeparator" w:id="0">
    <w:p w14:paraId="215C55E8" w14:textId="77777777" w:rsidR="000B0E46" w:rsidRDefault="000B0E46" w:rsidP="00005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24E12" w14:textId="77777777" w:rsidR="00E72C66" w:rsidRDefault="00E72C66" w:rsidP="00E72C66">
    <w:pPr>
      <w:pStyle w:val="Nagwek"/>
    </w:pPr>
    <w:r>
      <w:rPr>
        <w:noProof/>
      </w:rPr>
      <w:drawing>
        <wp:inline distT="0" distB="0" distL="0" distR="0" wp14:anchorId="013A0274" wp14:editId="297CBD8F">
          <wp:extent cx="5761355" cy="572770"/>
          <wp:effectExtent l="0" t="0" r="0" b="0"/>
          <wp:docPr id="18287966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9C2CEF" w14:textId="77777777" w:rsidR="00005EAF" w:rsidRDefault="00005E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35462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5EAF"/>
    <w:rsid w:val="00055818"/>
    <w:rsid w:val="000777FF"/>
    <w:rsid w:val="000B0E46"/>
    <w:rsid w:val="00143FE4"/>
    <w:rsid w:val="002B5570"/>
    <w:rsid w:val="002F2655"/>
    <w:rsid w:val="00323023"/>
    <w:rsid w:val="0035553D"/>
    <w:rsid w:val="00370812"/>
    <w:rsid w:val="0041713A"/>
    <w:rsid w:val="004D3A78"/>
    <w:rsid w:val="00504660"/>
    <w:rsid w:val="00525599"/>
    <w:rsid w:val="0055707E"/>
    <w:rsid w:val="005579A1"/>
    <w:rsid w:val="00560B6D"/>
    <w:rsid w:val="005B4FD7"/>
    <w:rsid w:val="00732F83"/>
    <w:rsid w:val="00812492"/>
    <w:rsid w:val="0085670C"/>
    <w:rsid w:val="00935CE1"/>
    <w:rsid w:val="00974843"/>
    <w:rsid w:val="00A07ADB"/>
    <w:rsid w:val="00A10319"/>
    <w:rsid w:val="00A16DE5"/>
    <w:rsid w:val="00A20625"/>
    <w:rsid w:val="00A62DD7"/>
    <w:rsid w:val="00A72D11"/>
    <w:rsid w:val="00B339B0"/>
    <w:rsid w:val="00B37AFE"/>
    <w:rsid w:val="00BB4323"/>
    <w:rsid w:val="00CA08C7"/>
    <w:rsid w:val="00CD3C32"/>
    <w:rsid w:val="00D26E97"/>
    <w:rsid w:val="00D500CE"/>
    <w:rsid w:val="00E14464"/>
    <w:rsid w:val="00E72C66"/>
    <w:rsid w:val="00E92499"/>
    <w:rsid w:val="00EA7118"/>
    <w:rsid w:val="00FA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6D41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05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5EAF"/>
  </w:style>
  <w:style w:type="paragraph" w:styleId="Stopka">
    <w:name w:val="footer"/>
    <w:basedOn w:val="Normalny"/>
    <w:link w:val="StopkaZnak"/>
    <w:uiPriority w:val="99"/>
    <w:unhideWhenUsed/>
    <w:rsid w:val="00005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5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635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cp:lastPrinted>2026-02-27T13:41:00Z</cp:lastPrinted>
  <dcterms:created xsi:type="dcterms:W3CDTF">2026-02-05T10:20:00Z</dcterms:created>
  <dcterms:modified xsi:type="dcterms:W3CDTF">2026-03-02T14:56:00Z</dcterms:modified>
</cp:coreProperties>
</file>